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551A2" w14:textId="77777777" w:rsidR="0014017E" w:rsidRDefault="00704B2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</w:pPr>
      <w:r>
        <w:rPr>
          <w:rFonts w:ascii="Segoe UI" w:eastAsia="Segoe UI" w:hAnsi="Segoe UI" w:cs="Segoe UI"/>
          <w:color w:val="201F1E"/>
        </w:rPr>
        <w:br/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СУХЕЙЛЬ ФАРАХ*</w:t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НОВИЗНА НАУЧНЫХ ОТКРЫТИЙ</w:t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Доктора философии С.В. Савицкой</w:t>
      </w:r>
    </w:p>
    <w:p w14:paraId="35E99D47" w14:textId="77777777" w:rsidR="0014017E" w:rsidRDefault="001401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</w:pPr>
    </w:p>
    <w:p w14:paraId="5E437625" w14:textId="77777777" w:rsidR="0014017E" w:rsidRDefault="00704B26">
      <w:pPr>
        <w:spacing w:after="0" w:line="360" w:lineRule="auto"/>
        <w:jc w:val="both"/>
        <w:rPr>
          <w:rFonts w:ascii="Times New Roman" w:eastAsia="Times New Roman" w:hAnsi="Times New Roman" w:cs="Times New Roman"/>
          <w:color w:val="201F1E"/>
          <w:sz w:val="24"/>
        </w:rPr>
      </w:pP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 xml:space="preserve">Доктор философии, писатель Савицкая </w:t>
      </w:r>
      <w:proofErr w:type="gramStart"/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С.В</w:t>
      </w:r>
      <w:proofErr w:type="gramEnd"/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 xml:space="preserve">, автор Научно-популярного издания «Славянский выбор» </w:t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 xml:space="preserve">в двух томах, изданное в 2017 году (Москва. Белые </w:t>
      </w:r>
      <w:proofErr w:type="spellStart"/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Альвы</w:t>
      </w:r>
      <w:proofErr w:type="spellEnd"/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.), которое наиболее полно представляет автора, как истинного ученого современности.</w:t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Ее работа является новым и оригинальным научным вкладом в дело теоретического осмысления содержания и динамики симво</w:t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лов и знаков разных стран, религии и культуры. Достоинства этой работы, на наш взгляд, заключаются в следующем:</w:t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object w:dxaOrig="3124" w:dyaOrig="4161" w14:anchorId="5C20A001">
          <v:rect id="rectole0000000000" o:spid="_x0000_i1025" style="width:156pt;height:207.75pt" o:ole="" o:preferrelative="t" stroked="f">
            <v:imagedata r:id="rId5" o:title=""/>
          </v:rect>
          <o:OLEObject Type="Embed" ProgID="StaticMetafile" ShapeID="rectole0000000000" DrawAspect="Content" ObjectID="_1704714070" r:id="rId6"/>
        </w:object>
      </w:r>
      <w:r>
        <w:rPr>
          <w:rFonts w:ascii="Times New Roman" w:eastAsia="Times New Roman" w:hAnsi="Times New Roman" w:cs="Times New Roman"/>
          <w:color w:val="201F1E"/>
          <w:sz w:val="24"/>
        </w:rPr>
        <w:t xml:space="preserve">         </w:t>
      </w:r>
      <w:r>
        <w:object w:dxaOrig="3110" w:dyaOrig="4147" w14:anchorId="6AA71C4E">
          <v:rect id="rectole0000000001" o:spid="_x0000_i1026" style="width:155.25pt;height:207pt" o:ole="" o:preferrelative="t" stroked="f">
            <v:imagedata r:id="rId7" o:title=""/>
          </v:rect>
          <o:OLEObject Type="Embed" ProgID="StaticMetafile" ShapeID="rectole0000000001" DrawAspect="Content" ObjectID="_1704714071" r:id="rId8"/>
        </w:object>
      </w:r>
    </w:p>
    <w:p w14:paraId="5D1862F9" w14:textId="77777777" w:rsidR="0014017E" w:rsidRDefault="001401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201F1E"/>
          <w:sz w:val="24"/>
        </w:rPr>
      </w:pPr>
    </w:p>
    <w:p w14:paraId="0B99DC20" w14:textId="77777777" w:rsidR="0014017E" w:rsidRDefault="001401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201F1E"/>
          <w:sz w:val="24"/>
        </w:rPr>
      </w:pPr>
    </w:p>
    <w:p w14:paraId="289E8028" w14:textId="77777777" w:rsidR="0014017E" w:rsidRDefault="00704B26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 xml:space="preserve">1. </w:t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Строя исследование на прочном гносеологическом фундаменте, с использованием различных научных подходов, автор избежал одностороннего понимания предмета. В его   подходе сочетаются элементы истории и философии, социологии, психологии культуры, религиоведени</w:t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и. Проведён анализ настоящего и предвидение будущего.</w:t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 xml:space="preserve">2. Практически ни один из составляющих элементов формирования символов и знаков не </w:t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lastRenderedPageBreak/>
        <w:t xml:space="preserve">оставлен без внимания. Такой универсальный подход делает работу автора исключительно глубоко профессиональной в данной </w:t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области.</w:t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3. Автором привлечен широкий пласт научной литературы.  Сама постановка вопроса, структура работы, частое цитирование трудов известных философов, социологов, этнологов, историков, культурологов, религиоведов, а также знаменитых писателей и поэтов,</w:t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- всё это</w:t>
      </w:r>
      <w:proofErr w:type="gramEnd"/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 xml:space="preserve"> свидетельствует о широком кругозоре автора.</w:t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t xml:space="preserve">4. ДЕШИФРОВКА АЗБУКИ. Предметом исследования выбрана самая древняя по мнению филологов русская Азбука, Глаголица. </w:t>
      </w:r>
    </w:p>
    <w:p w14:paraId="63A751C6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Слог «Аз» - один из основных кубиков дальнейшей расшифровки представлен с упором ра</w:t>
      </w:r>
      <w:r>
        <w:rPr>
          <w:rFonts w:ascii="Times New Roman" w:eastAsia="Times New Roman" w:hAnsi="Times New Roman" w:cs="Times New Roman"/>
          <w:sz w:val="24"/>
        </w:rPr>
        <w:t>сшифровки как Ра-</w:t>
      </w:r>
      <w:proofErr w:type="spellStart"/>
      <w:r>
        <w:rPr>
          <w:rFonts w:ascii="Times New Roman" w:eastAsia="Times New Roman" w:hAnsi="Times New Roman" w:cs="Times New Roman"/>
          <w:sz w:val="24"/>
        </w:rPr>
        <w:t>аР</w:t>
      </w:r>
      <w:proofErr w:type="spellEnd"/>
      <w:r>
        <w:rPr>
          <w:rFonts w:ascii="Times New Roman" w:eastAsia="Times New Roman" w:hAnsi="Times New Roman" w:cs="Times New Roman"/>
          <w:sz w:val="24"/>
        </w:rPr>
        <w:t>, Ла-Ал. Автор не оставляет сомнений, что русский смысл тождественен арабскому смыслу Бога-Букв в арабском прочтении, как слева направо, так и справа налево.  Представляет также «А», как некий неделимый Абсолют бога-души человека. По Бха</w:t>
      </w:r>
      <w:r>
        <w:rPr>
          <w:rFonts w:ascii="Times New Roman" w:eastAsia="Times New Roman" w:hAnsi="Times New Roman" w:cs="Times New Roman"/>
          <w:sz w:val="24"/>
        </w:rPr>
        <w:t xml:space="preserve">гавадгите представленный, как «Атман». Азбука завязывается на «Коло года», где каждая буква-бог венчает определенный месяц древнего общеславянского (этрусского) календаря.  </w:t>
      </w:r>
    </w:p>
    <w:p w14:paraId="24F91191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б) Все буки представлены не только лишь, как знаки, но и как имена – символы богов</w:t>
      </w:r>
      <w:r>
        <w:rPr>
          <w:rFonts w:ascii="Times New Roman" w:eastAsia="Times New Roman" w:hAnsi="Times New Roman" w:cs="Times New Roman"/>
          <w:sz w:val="24"/>
        </w:rPr>
        <w:t>. Буки – Боги. Становится понятным смысл начала Азбуки «Аз буки веди…» - Я Богами ведомый…» В отличие от других авторов, ранее доказывающих иное значение, например так: «Я богов ведаю…»</w:t>
      </w:r>
    </w:p>
    <w:p w14:paraId="0223AC17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в) Глагольные «боги», существительные, гласные, согласные и «несогласн</w:t>
      </w:r>
      <w:r>
        <w:rPr>
          <w:rFonts w:ascii="Times New Roman" w:eastAsia="Times New Roman" w:hAnsi="Times New Roman" w:cs="Times New Roman"/>
          <w:sz w:val="24"/>
        </w:rPr>
        <w:t xml:space="preserve">ые» - шипящие, не вошедшие в Единое коло </w:t>
      </w:r>
      <w:proofErr w:type="gramStart"/>
      <w:r>
        <w:rPr>
          <w:rFonts w:ascii="Times New Roman" w:eastAsia="Times New Roman" w:hAnsi="Times New Roman" w:cs="Times New Roman"/>
          <w:sz w:val="24"/>
        </w:rPr>
        <w:t>года,  приобретают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очередность, как в таблице Менделеева, и смысл не только в контексте предложения, но и в линейке – весна-лето-осень-зима. Подручными средствами доказательной базы служат знаки, символы, славянские</w:t>
      </w:r>
      <w:r>
        <w:rPr>
          <w:rFonts w:ascii="Times New Roman" w:eastAsia="Times New Roman" w:hAnsi="Times New Roman" w:cs="Times New Roman"/>
          <w:sz w:val="24"/>
        </w:rPr>
        <w:t xml:space="preserve"> обряды, традиции других народов и культур. </w:t>
      </w:r>
    </w:p>
    <w:p w14:paraId="2D8D9B9D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г) Каждая буква является ключевой. Но среди других есть поворотная буква. «Зело-Земли». Автор не расшифровывает «зело», как «очень». Но впервые дает единственно правильное решение этого планетарного понятия. </w:t>
      </w:r>
    </w:p>
    <w:p w14:paraId="2C97A4CA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д)</w:t>
      </w:r>
      <w:r>
        <w:rPr>
          <w:rFonts w:ascii="Times New Roman" w:eastAsia="Times New Roman" w:hAnsi="Times New Roman" w:cs="Times New Roman"/>
          <w:sz w:val="24"/>
        </w:rPr>
        <w:t xml:space="preserve"> Итоговое значение Азбуки – вполне понятное предложение, которое возможно, предки знали наизусть и понимали, о чем идет речь.</w:t>
      </w:r>
    </w:p>
    <w:p w14:paraId="5099A030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е)  Осознав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значение Азбуки, легко далее расшифровываются многие слова и имена как русского языка, так и всего, что мы подразумева</w:t>
      </w:r>
      <w:r>
        <w:rPr>
          <w:rFonts w:ascii="Times New Roman" w:eastAsia="Times New Roman" w:hAnsi="Times New Roman" w:cs="Times New Roman"/>
          <w:sz w:val="24"/>
        </w:rPr>
        <w:t xml:space="preserve">ем под славянским и этрусским языком. </w:t>
      </w:r>
    </w:p>
    <w:p w14:paraId="30A3443B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Главы в поиска единого праязыка вроде бы не открывают ничего нового, ведь автор ссылается на множество фундаментальных открытий последних лет, но они дают парадигму достаточных знаний, чтобы подтвердить дальнейшие </w:t>
      </w:r>
      <w:r>
        <w:rPr>
          <w:rFonts w:ascii="Times New Roman" w:eastAsia="Times New Roman" w:hAnsi="Times New Roman" w:cs="Times New Roman"/>
          <w:sz w:val="24"/>
        </w:rPr>
        <w:t>мысли: «Расы и касты», «Боги Греции с русскими именами» (по исследованиям Ю. Петухова),  «Следы этрусков повсюду», «Русский и санскрит», «</w:t>
      </w:r>
      <w:proofErr w:type="spellStart"/>
      <w:r>
        <w:rPr>
          <w:rFonts w:ascii="Times New Roman" w:eastAsia="Times New Roman" w:hAnsi="Times New Roman" w:cs="Times New Roman"/>
          <w:sz w:val="24"/>
        </w:rPr>
        <w:t>Фестский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диск» (по исследованиям В. Гриневича), «В глубь праславянской культуры»,  «Арабский зеркален русскому» (по ис</w:t>
      </w:r>
      <w:r>
        <w:rPr>
          <w:rFonts w:ascii="Times New Roman" w:eastAsia="Times New Roman" w:hAnsi="Times New Roman" w:cs="Times New Roman"/>
          <w:sz w:val="24"/>
        </w:rPr>
        <w:t xml:space="preserve">следованиям Н. </w:t>
      </w:r>
      <w:proofErr w:type="spellStart"/>
      <w:r>
        <w:rPr>
          <w:rFonts w:ascii="Times New Roman" w:eastAsia="Times New Roman" w:hAnsi="Times New Roman" w:cs="Times New Roman"/>
          <w:sz w:val="24"/>
        </w:rPr>
        <w:t>Вашкевича</w:t>
      </w:r>
      <w:proofErr w:type="spellEnd"/>
      <w:r>
        <w:rPr>
          <w:rFonts w:ascii="Times New Roman" w:eastAsia="Times New Roman" w:hAnsi="Times New Roman" w:cs="Times New Roman"/>
          <w:sz w:val="24"/>
        </w:rPr>
        <w:t>), «Исследование коллег на Дальнем Востоке» и т.д.</w:t>
      </w:r>
    </w:p>
    <w:p w14:paraId="027D4967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 Наряду данную гипотезу подтверждают авторские исследования, суженные до научно-популярного формата в главы: «Пруссия и ее славянские истоки», «Гжель вчера и сегодня», «Исследован</w:t>
      </w:r>
      <w:r>
        <w:rPr>
          <w:rFonts w:ascii="Times New Roman" w:eastAsia="Times New Roman" w:hAnsi="Times New Roman" w:cs="Times New Roman"/>
          <w:sz w:val="24"/>
        </w:rPr>
        <w:t>ие культурных слоев славян</w:t>
      </w:r>
      <w:proofErr w:type="gramStart"/>
      <w:r>
        <w:rPr>
          <w:rFonts w:ascii="Times New Roman" w:eastAsia="Times New Roman" w:hAnsi="Times New Roman" w:cs="Times New Roman"/>
          <w:sz w:val="24"/>
        </w:rPr>
        <w:t>»,  «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Легендарный </w:t>
      </w:r>
      <w:r>
        <w:rPr>
          <w:rFonts w:ascii="Times New Roman" w:eastAsia="Times New Roman" w:hAnsi="Times New Roman" w:cs="Times New Roman"/>
          <w:sz w:val="24"/>
        </w:rPr>
        <w:lastRenderedPageBreak/>
        <w:t>Херсонес», «Балканские открытия», «Кто научил Кирилла и Мефодия русскому языку», и т.д.</w:t>
      </w:r>
    </w:p>
    <w:p w14:paraId="1B75B037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 Особняком стоит глава «Зачем нас сотворили Боги?</w:t>
      </w:r>
      <w:proofErr w:type="gramStart"/>
      <w:r>
        <w:rPr>
          <w:rFonts w:ascii="Times New Roman" w:eastAsia="Times New Roman" w:hAnsi="Times New Roman" w:cs="Times New Roman"/>
          <w:sz w:val="24"/>
        </w:rPr>
        <w:t>» ,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где рассматривается три планетарные версии:</w:t>
      </w:r>
    </w:p>
    <w:p w14:paraId="0CF5DF84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Символы управления в те</w:t>
      </w:r>
      <w:r>
        <w:rPr>
          <w:rFonts w:ascii="Times New Roman" w:eastAsia="Times New Roman" w:hAnsi="Times New Roman" w:cs="Times New Roman"/>
          <w:sz w:val="24"/>
        </w:rPr>
        <w:t>ории Чарльза Дарвина.</w:t>
      </w:r>
    </w:p>
    <w:p w14:paraId="4F8C718A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б) Теория божественного зарождения жизни. Управление нами Богом. В разделе разбираются буддизм, даосизм, христианство, маоизм, иудаизм, мусульманство. </w:t>
      </w:r>
      <w:proofErr w:type="gramStart"/>
      <w:r>
        <w:rPr>
          <w:rFonts w:ascii="Times New Roman" w:eastAsia="Times New Roman" w:hAnsi="Times New Roman" w:cs="Times New Roman"/>
          <w:sz w:val="24"/>
        </w:rPr>
        <w:t>Вопросы ,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выведенные автором во главу угла, остаются без ответа. </w:t>
      </w:r>
    </w:p>
    <w:p w14:paraId="59ECA9E0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в)  Вмешательство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неземных рас. </w:t>
      </w:r>
      <w:proofErr w:type="spellStart"/>
      <w:r>
        <w:rPr>
          <w:rFonts w:ascii="Times New Roman" w:eastAsia="Times New Roman" w:hAnsi="Times New Roman" w:cs="Times New Roman"/>
          <w:sz w:val="24"/>
        </w:rPr>
        <w:t>Палеоконтакт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673DE20B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Данная глава основана </w:t>
      </w:r>
      <w:proofErr w:type="gramStart"/>
      <w:r>
        <w:rPr>
          <w:rFonts w:ascii="Times New Roman" w:eastAsia="Times New Roman" w:hAnsi="Times New Roman" w:cs="Times New Roman"/>
          <w:sz w:val="24"/>
        </w:rPr>
        <w:t>на  открытиях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А. Склярова, А. Воронина. А. Жукова. Н. Вавилова. И вопрос о зарождении человечества поставлен в контексте символов управления, как рычагов воздействия на разные религии планеты. В этом и со</w:t>
      </w:r>
      <w:r>
        <w:rPr>
          <w:rFonts w:ascii="Times New Roman" w:eastAsia="Times New Roman" w:hAnsi="Times New Roman" w:cs="Times New Roman"/>
          <w:sz w:val="24"/>
        </w:rPr>
        <w:t xml:space="preserve">стоит ее новизна – вскрыть символы управления. </w:t>
      </w:r>
    </w:p>
    <w:p w14:paraId="4C15C0DF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 Символы в труде автора рассматриваются не только славянские, но и масонские. Общепланетарные. Символы на зданиях. Могилах. Денежных знаках. Даны кратко. Приведены в понятную систему. Не противопоставлены д</w:t>
      </w:r>
      <w:r>
        <w:rPr>
          <w:rFonts w:ascii="Times New Roman" w:eastAsia="Times New Roman" w:hAnsi="Times New Roman" w:cs="Times New Roman"/>
          <w:sz w:val="24"/>
        </w:rPr>
        <w:t>руг другу. А выведены в порядковый ряд. И рассматриваются, как феномен управления, с учетом третьего управляющего тем и иным феноменом фактора. (</w:t>
      </w:r>
      <w:proofErr w:type="spellStart"/>
      <w:r>
        <w:rPr>
          <w:rFonts w:ascii="Times New Roman" w:eastAsia="Times New Roman" w:hAnsi="Times New Roman" w:cs="Times New Roman"/>
          <w:sz w:val="24"/>
        </w:rPr>
        <w:t>По-Рериху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Триединство мира). </w:t>
      </w:r>
    </w:p>
    <w:p w14:paraId="79951508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 Рассмотрены вопросы крови. И так называемый «Код Дьявола». Дана оригинальная</w:t>
      </w:r>
      <w:r>
        <w:rPr>
          <w:rFonts w:ascii="Times New Roman" w:eastAsia="Times New Roman" w:hAnsi="Times New Roman" w:cs="Times New Roman"/>
          <w:sz w:val="24"/>
        </w:rPr>
        <w:t xml:space="preserve"> трактовка артериальной и венозной крови человека. </w:t>
      </w:r>
    </w:p>
    <w:p w14:paraId="6754D4EE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10. Используя технику философов-</w:t>
      </w:r>
      <w:proofErr w:type="spellStart"/>
      <w:r>
        <w:rPr>
          <w:rFonts w:ascii="Times New Roman" w:eastAsia="Times New Roman" w:hAnsi="Times New Roman" w:cs="Times New Roman"/>
          <w:sz w:val="24"/>
        </w:rPr>
        <w:t>личностников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защищающих научные работы по теме изучения философии в творчестве великих людей, автор расставляет акценты творчества некоторых видных литераторов. Киплинга. </w:t>
      </w:r>
      <w:r>
        <w:rPr>
          <w:rFonts w:ascii="Times New Roman" w:eastAsia="Times New Roman" w:hAnsi="Times New Roman" w:cs="Times New Roman"/>
          <w:sz w:val="24"/>
        </w:rPr>
        <w:t>Булгакова. Пушкина. Есенина. Толстого. Это позволяет обрести некий ключ расшифровки всего творчества авторов. Понять многие зашифрованные в текстах символы и смыслы.</w:t>
      </w:r>
    </w:p>
    <w:p w14:paraId="3C79A692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11.  Название первого тома становится понятным только в конце книги. «Дешифровки Божествен</w:t>
      </w:r>
      <w:r>
        <w:rPr>
          <w:rFonts w:ascii="Times New Roman" w:eastAsia="Times New Roman" w:hAnsi="Times New Roman" w:cs="Times New Roman"/>
          <w:sz w:val="24"/>
        </w:rPr>
        <w:t>ных символов и знаков управления» становятся понятны и полезны для дальнейшего ознакомления со вторым томом.</w:t>
      </w:r>
    </w:p>
    <w:p w14:paraId="21F80F66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12. «Методики славянских шифров. Практики» - второй том энциклопедии символов управления «</w:t>
      </w:r>
      <w:proofErr w:type="gramStart"/>
      <w:r>
        <w:rPr>
          <w:rFonts w:ascii="Times New Roman" w:eastAsia="Times New Roman" w:hAnsi="Times New Roman" w:cs="Times New Roman"/>
          <w:sz w:val="24"/>
        </w:rPr>
        <w:t>Славянский  выбор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» впервые на широчайшем </w:t>
      </w:r>
      <w:proofErr w:type="spellStart"/>
      <w:r>
        <w:rPr>
          <w:rFonts w:ascii="Times New Roman" w:eastAsia="Times New Roman" w:hAnsi="Times New Roman" w:cs="Times New Roman"/>
          <w:sz w:val="24"/>
        </w:rPr>
        <w:t>символо</w:t>
      </w:r>
      <w:proofErr w:type="spellEnd"/>
      <w:r>
        <w:rPr>
          <w:rFonts w:ascii="Times New Roman" w:eastAsia="Times New Roman" w:hAnsi="Times New Roman" w:cs="Times New Roman"/>
          <w:sz w:val="24"/>
        </w:rPr>
        <w:t>-поле пла</w:t>
      </w:r>
      <w:r>
        <w:rPr>
          <w:rFonts w:ascii="Times New Roman" w:eastAsia="Times New Roman" w:hAnsi="Times New Roman" w:cs="Times New Roman"/>
          <w:sz w:val="24"/>
        </w:rPr>
        <w:t xml:space="preserve">неты публикует стройную общую систему всех планетарных символов управления. </w:t>
      </w:r>
    </w:p>
    <w:p w14:paraId="44738629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13. Впервые кратко и ёмко даны все сравнительные таблицы значений планетарных языков, выводя </w:t>
      </w:r>
      <w:proofErr w:type="spellStart"/>
      <w:r>
        <w:rPr>
          <w:rFonts w:ascii="Times New Roman" w:eastAsia="Times New Roman" w:hAnsi="Times New Roman" w:cs="Times New Roman"/>
          <w:sz w:val="24"/>
        </w:rPr>
        <w:t>символо</w:t>
      </w:r>
      <w:proofErr w:type="spellEnd"/>
      <w:r>
        <w:rPr>
          <w:rFonts w:ascii="Times New Roman" w:eastAsia="Times New Roman" w:hAnsi="Times New Roman" w:cs="Times New Roman"/>
          <w:sz w:val="24"/>
        </w:rPr>
        <w:t>-сферу слов, слогов, знаков, букв к единому общему знаменателю в главе «Как пон</w:t>
      </w:r>
      <w:r>
        <w:rPr>
          <w:rFonts w:ascii="Times New Roman" w:eastAsia="Times New Roman" w:hAnsi="Times New Roman" w:cs="Times New Roman"/>
          <w:sz w:val="24"/>
        </w:rPr>
        <w:t>имать древние тексты».</w:t>
      </w:r>
    </w:p>
    <w:p w14:paraId="1EEE9F06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14. Впервые рассматривается «грехопадение», как </w:t>
      </w:r>
      <w:proofErr w:type="spellStart"/>
      <w:r>
        <w:rPr>
          <w:rFonts w:ascii="Times New Roman" w:eastAsia="Times New Roman" w:hAnsi="Times New Roman" w:cs="Times New Roman"/>
          <w:sz w:val="24"/>
        </w:rPr>
        <w:t>рептилоидное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происхождение землян. </w:t>
      </w:r>
    </w:p>
    <w:p w14:paraId="435771A3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15. </w:t>
      </w:r>
      <w:r>
        <w:rPr>
          <w:rFonts w:ascii="Times New Roman" w:eastAsia="Times New Roman" w:hAnsi="Times New Roman" w:cs="Times New Roman"/>
          <w:sz w:val="24"/>
        </w:rPr>
        <w:t xml:space="preserve">Собраны воедино краткие, но достаточные для </w:t>
      </w:r>
      <w:proofErr w:type="gramStart"/>
      <w:r>
        <w:rPr>
          <w:rFonts w:ascii="Times New Roman" w:eastAsia="Times New Roman" w:hAnsi="Times New Roman" w:cs="Times New Roman"/>
          <w:sz w:val="24"/>
        </w:rPr>
        <w:t>понимания  данные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 славянофобах и славянофилах в планетарном объеме.  </w:t>
      </w:r>
    </w:p>
    <w:p w14:paraId="0CAF467F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16. Даны ключи расшифровки славянских мен, понятий. Текстов. Обычаев.</w:t>
      </w:r>
    </w:p>
    <w:p w14:paraId="3B30262B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17. Впервые человек науки знакомит читателя с традициями славянских ми</w:t>
      </w:r>
      <w:r>
        <w:rPr>
          <w:rFonts w:ascii="Times New Roman" w:eastAsia="Times New Roman" w:hAnsi="Times New Roman" w:cs="Times New Roman"/>
          <w:sz w:val="24"/>
        </w:rPr>
        <w:t xml:space="preserve">стических практик.  </w:t>
      </w:r>
    </w:p>
    <w:p w14:paraId="413503A8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18. Главное открытие заключено в энциклопедии символов управления в главе «Большая разница», </w:t>
      </w:r>
      <w:r>
        <w:rPr>
          <w:rFonts w:ascii="Times New Roman" w:eastAsia="Times New Roman" w:hAnsi="Times New Roman" w:cs="Times New Roman"/>
          <w:sz w:val="24"/>
        </w:rPr>
        <w:t xml:space="preserve">подробнейшим образом, представляющая разные отношении к числу три. Триединству мира и религий в разных частях планеты. </w:t>
      </w:r>
    </w:p>
    <w:p w14:paraId="29DA1B2D" w14:textId="77777777" w:rsidR="0014017E" w:rsidRDefault="0014017E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14:paraId="2F514A57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II. Не менее важны для науки философские книги автора Светланы Савицкой.</w:t>
      </w:r>
    </w:p>
    <w:p w14:paraId="5C9DBFE6" w14:textId="77777777" w:rsidR="0014017E" w:rsidRDefault="00704B26">
      <w:pPr>
        <w:numPr>
          <w:ilvl w:val="0"/>
          <w:numId w:val="1"/>
        </w:numPr>
        <w:spacing w:after="0" w:line="276" w:lineRule="auto"/>
        <w:ind w:left="10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Три крупных военно-исторических романа построены на архивных с</w:t>
      </w:r>
      <w:r>
        <w:rPr>
          <w:rFonts w:ascii="Times New Roman" w:eastAsia="Times New Roman" w:hAnsi="Times New Roman" w:cs="Times New Roman"/>
          <w:sz w:val="24"/>
        </w:rPr>
        <w:t>сылках. Романы «Зачем сгорает Феникс», «Распутай время», «Назови имя Бога», «Ангел Беды», «Балканы», «</w:t>
      </w:r>
      <w:proofErr w:type="gramStart"/>
      <w:r>
        <w:rPr>
          <w:rFonts w:ascii="Times New Roman" w:eastAsia="Times New Roman" w:hAnsi="Times New Roman" w:cs="Times New Roman"/>
          <w:sz w:val="24"/>
        </w:rPr>
        <w:t>Свет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отражающий» - это настоящая русская фундаментальная философия, которая сама еще ждет изучения поколениями.</w:t>
      </w:r>
    </w:p>
    <w:p w14:paraId="2AD7C1A8" w14:textId="77777777" w:rsidR="0014017E" w:rsidRDefault="00704B26">
      <w:pPr>
        <w:numPr>
          <w:ilvl w:val="0"/>
          <w:numId w:val="1"/>
        </w:numPr>
        <w:spacing w:after="0" w:line="276" w:lineRule="auto"/>
        <w:ind w:left="10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Повести «Увидеть звезду и вспомнить песню»</w:t>
      </w:r>
      <w:r>
        <w:rPr>
          <w:rFonts w:ascii="Times New Roman" w:eastAsia="Times New Roman" w:hAnsi="Times New Roman" w:cs="Times New Roman"/>
          <w:sz w:val="24"/>
        </w:rPr>
        <w:t xml:space="preserve">, «Грешен! Господи!», «Изабелла», «Я верю тебе, мама», «Золотой обрез», «Необычный расклад», «Спасенный из рая» - считаются ранними, но жизненный поиск главного героя вскрывает такие </w:t>
      </w:r>
      <w:proofErr w:type="gramStart"/>
      <w:r>
        <w:rPr>
          <w:rFonts w:ascii="Times New Roman" w:eastAsia="Times New Roman" w:hAnsi="Times New Roman" w:cs="Times New Roman"/>
          <w:sz w:val="24"/>
        </w:rPr>
        <w:t>глубины  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лучших традициях русской прозы Чехова и Достоевского, что кажд</w:t>
      </w:r>
      <w:r>
        <w:rPr>
          <w:rFonts w:ascii="Times New Roman" w:eastAsia="Times New Roman" w:hAnsi="Times New Roman" w:cs="Times New Roman"/>
          <w:sz w:val="24"/>
        </w:rPr>
        <w:t xml:space="preserve">ая из повестей достойна и экранизации и трактатов кандидатов философских наук. Повесть «Легенда о Лопе де Вега, Торнадо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Кецалькоатле</w:t>
      </w:r>
      <w:proofErr w:type="spellEnd"/>
      <w:r>
        <w:rPr>
          <w:rFonts w:ascii="Times New Roman" w:eastAsia="Times New Roman" w:hAnsi="Times New Roman" w:cs="Times New Roman"/>
          <w:sz w:val="24"/>
        </w:rPr>
        <w:t>» - философское размышление с трогательным сюжетом – является уникальным произведением с точки зрения философской новизны.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22D2179" w14:textId="77777777" w:rsidR="0014017E" w:rsidRDefault="00704B26">
      <w:pPr>
        <w:numPr>
          <w:ilvl w:val="0"/>
          <w:numId w:val="1"/>
        </w:numPr>
        <w:spacing w:after="0" w:line="276" w:lineRule="auto"/>
        <w:ind w:left="10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 этому стоит добавить, что более 100 рассказов и 550 притч и сказок, в которых заложены глубинные смыслы и откровения бытия, поняты и приняты разнообразным литературным миром планеты, ведь все это переведено на 30 языков мира, изданы некоторые притчи бо</w:t>
      </w:r>
      <w:r>
        <w:rPr>
          <w:rFonts w:ascii="Times New Roman" w:eastAsia="Times New Roman" w:hAnsi="Times New Roman" w:cs="Times New Roman"/>
          <w:sz w:val="24"/>
        </w:rPr>
        <w:t xml:space="preserve">лее 20 раз.  Это свидетельствует, что доступность изложения основных принципов философии, умение быть понятной молодому читателю и предвзятому опытному: в Испании, Франции, Германии, на Кубе, в Индии, </w:t>
      </w:r>
      <w:proofErr w:type="gramStart"/>
      <w:r>
        <w:rPr>
          <w:rFonts w:ascii="Times New Roman" w:eastAsia="Times New Roman" w:hAnsi="Times New Roman" w:cs="Times New Roman"/>
          <w:sz w:val="24"/>
        </w:rPr>
        <w:t>Швеции,  России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т.д., дает нам право заявлять, что фе</w:t>
      </w:r>
      <w:r>
        <w:rPr>
          <w:rFonts w:ascii="Times New Roman" w:eastAsia="Times New Roman" w:hAnsi="Times New Roman" w:cs="Times New Roman"/>
          <w:sz w:val="24"/>
        </w:rPr>
        <w:t xml:space="preserve">номен автора рассматривает феномен бытия. </w:t>
      </w:r>
    </w:p>
    <w:p w14:paraId="0869F7D3" w14:textId="77777777" w:rsidR="0014017E" w:rsidRDefault="0014017E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14:paraId="64551D76" w14:textId="77777777" w:rsidR="0014017E" w:rsidRDefault="00704B2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III Кроме того</w:t>
      </w:r>
      <w:proofErr w:type="gramEnd"/>
      <w:r>
        <w:rPr>
          <w:rFonts w:ascii="Times New Roman" w:eastAsia="Times New Roman" w:hAnsi="Times New Roman" w:cs="Times New Roman"/>
          <w:sz w:val="24"/>
        </w:rPr>
        <w:t>, о поездках и исследованиях символов управления в 30 странах вышла целая серия книг «Призвание планеты». По многим из них поставлены документальные фильмы:</w:t>
      </w:r>
    </w:p>
    <w:p w14:paraId="30582078" w14:textId="77777777" w:rsidR="0014017E" w:rsidRDefault="00704B26">
      <w:pPr>
        <w:spacing w:after="0" w:line="276" w:lineRule="auto"/>
        <w:ind w:left="720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( см.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Ютюб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канал Светланы Савицкой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https://www.youtube.com/channel/UCW3EDyu-r6p8t7Pn-0MN6dA</w:t>
        </w:r>
      </w:hyperlink>
      <w:r>
        <w:rPr>
          <w:rFonts w:ascii="Times New Roman" w:eastAsia="Times New Roman" w:hAnsi="Times New Roman" w:cs="Times New Roman"/>
          <w:sz w:val="24"/>
        </w:rPr>
        <w:t xml:space="preserve"> ) По философской научной значимости, можно было бы их распределить так:</w:t>
      </w:r>
    </w:p>
    <w:p w14:paraId="3FE264F3" w14:textId="77777777" w:rsidR="0014017E" w:rsidRDefault="0014017E">
      <w:pPr>
        <w:spacing w:after="0" w:line="276" w:lineRule="auto"/>
        <w:ind w:left="720"/>
        <w:rPr>
          <w:rFonts w:ascii="Times New Roman" w:eastAsia="Times New Roman" w:hAnsi="Times New Roman" w:cs="Times New Roman"/>
          <w:sz w:val="24"/>
        </w:rPr>
      </w:pPr>
    </w:p>
    <w:p w14:paraId="6B479172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Мексика. Философия свободы. </w:t>
      </w:r>
    </w:p>
    <w:p w14:paraId="33A3B415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Легенда о </w:t>
      </w:r>
      <w:proofErr w:type="spellStart"/>
      <w:r>
        <w:rPr>
          <w:rFonts w:ascii="Times New Roman" w:eastAsia="Times New Roman" w:hAnsi="Times New Roman" w:cs="Times New Roman"/>
          <w:sz w:val="24"/>
        </w:rPr>
        <w:t>Радегасте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2A40523C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Китай</w:t>
      </w:r>
      <w:r>
        <w:rPr>
          <w:rFonts w:ascii="Times New Roman" w:eastAsia="Times New Roman" w:hAnsi="Times New Roman" w:cs="Times New Roman"/>
          <w:sz w:val="24"/>
        </w:rPr>
        <w:t xml:space="preserve">. Философия Востока. </w:t>
      </w:r>
    </w:p>
    <w:p w14:paraId="009FA204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Куба. Научная конференция.  </w:t>
      </w:r>
    </w:p>
    <w:p w14:paraId="07171B3E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Вьетнам. </w:t>
      </w:r>
    </w:p>
    <w:p w14:paraId="1C7CDE50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Белая карта пути к Федору Конюхову. </w:t>
      </w:r>
    </w:p>
    <w:p w14:paraId="7D69584C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Тайна Богатырского Булата. </w:t>
      </w:r>
    </w:p>
    <w:p w14:paraId="4D6D4AC4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Сызрань. Школа здоровья.</w:t>
      </w:r>
    </w:p>
    <w:p w14:paraId="74DA19B1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Чехия. </w:t>
      </w:r>
      <w:proofErr w:type="spellStart"/>
      <w:r>
        <w:rPr>
          <w:rFonts w:ascii="Times New Roman" w:eastAsia="Times New Roman" w:hAnsi="Times New Roman" w:cs="Times New Roman"/>
          <w:sz w:val="24"/>
        </w:rPr>
        <w:t>Осичко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6E1888FE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Музей Орловского рысака и русской тройки.</w:t>
      </w:r>
    </w:p>
    <w:p w14:paraId="3E4C757B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Анжелика и ее тайны. Версаль.</w:t>
      </w:r>
    </w:p>
    <w:p w14:paraId="1643B73E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Театр кошек. </w:t>
      </w:r>
    </w:p>
    <w:p w14:paraId="3ED98AE8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Заповеди солнца. </w:t>
      </w:r>
    </w:p>
    <w:p w14:paraId="3AB2C7C3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Сирия. Боль.</w:t>
      </w:r>
    </w:p>
    <w:p w14:paraId="77A669BD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Калининград. </w:t>
      </w:r>
    </w:p>
    <w:p w14:paraId="46337910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Калуга. </w:t>
      </w:r>
    </w:p>
    <w:p w14:paraId="3FB828F7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Поэма о маме и море.</w:t>
      </w:r>
    </w:p>
    <w:p w14:paraId="17085084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Стихи о смерти, которой нет.</w:t>
      </w:r>
    </w:p>
    <w:p w14:paraId="3505A80D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Времена года. Торопец.</w:t>
      </w:r>
    </w:p>
    <w:p w14:paraId="350CDB3B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Музей коневодства и Манеж.</w:t>
      </w:r>
    </w:p>
    <w:p w14:paraId="49433E79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Чернее ночи ночь.</w:t>
      </w:r>
    </w:p>
    <w:p w14:paraId="33C09235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Снова зима.  </w:t>
      </w:r>
    </w:p>
    <w:p w14:paraId="7DB5C475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Дождь в дорогу. </w:t>
      </w:r>
    </w:p>
    <w:p w14:paraId="413EA81A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День свят</w:t>
      </w:r>
      <w:r>
        <w:rPr>
          <w:rFonts w:ascii="Times New Roman" w:eastAsia="Times New Roman" w:hAnsi="Times New Roman" w:cs="Times New Roman"/>
          <w:sz w:val="24"/>
        </w:rPr>
        <w:t xml:space="preserve">ого Валентина. </w:t>
      </w:r>
    </w:p>
    <w:p w14:paraId="1BC3C0FE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Презентация. Храм Христа Спасителя. </w:t>
      </w:r>
    </w:p>
    <w:p w14:paraId="3FCF980E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Царицыно.</w:t>
      </w:r>
    </w:p>
    <w:p w14:paraId="1A092B61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Роза.</w:t>
      </w:r>
    </w:p>
    <w:p w14:paraId="6CD1D6FE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Сандал.</w:t>
      </w:r>
    </w:p>
    <w:p w14:paraId="4931B54D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Иланг-Иланг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14:paraId="13051B86" w14:textId="77777777" w:rsidR="0014017E" w:rsidRDefault="00704B26">
      <w:pPr>
        <w:numPr>
          <w:ilvl w:val="0"/>
          <w:numId w:val="2"/>
        </w:numPr>
        <w:spacing w:after="0" w:line="276" w:lineRule="auto"/>
        <w:ind w:left="153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Амбра и песня кита и др.</w:t>
      </w:r>
    </w:p>
    <w:p w14:paraId="45FDA145" w14:textId="77777777" w:rsidR="0014017E" w:rsidRDefault="00704B26">
      <w:pPr>
        <w:spacing w:after="0" w:line="276" w:lineRule="auto"/>
        <w:ind w:left="117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 xml:space="preserve">Любое научное открытие всегда – </w:t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вызов устоявшимся постулатам. Кажущаяся невероятной мысль, заявленная сначала в виде гипотезы, далее должна защитить саму себя от нападок опять же устоявшейся фундаментальной науки.</w:t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Уверен, что это интересная, актуальная и очень серьезная работа. Поэтому</w:t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 xml:space="preserve">, рекомендую Академии РАЕН признать ее, как научное открытие в области </w:t>
      </w:r>
      <w:proofErr w:type="gramStart"/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изучений  новых</w:t>
      </w:r>
      <w:proofErr w:type="gramEnd"/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 xml:space="preserve"> форм содержания  символики  различных народов, религий историй и культур. Без сомнений, работа вызовет большой интерес не только у экспертов, но и также у широкого круга</w:t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 xml:space="preserve"> читателей и привлечет внимание специалистов различных направлений. </w:t>
      </w:r>
    </w:p>
    <w:p w14:paraId="2E20B9BF" w14:textId="77777777" w:rsidR="0014017E" w:rsidRDefault="0014017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</w:pPr>
    </w:p>
    <w:p w14:paraId="38829A85" w14:textId="77777777" w:rsidR="0014017E" w:rsidRDefault="00704B26">
      <w:pPr>
        <w:spacing w:after="0" w:line="360" w:lineRule="auto"/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 xml:space="preserve">*СУХЕЙЛЬ ФАРАХ: доктор философских наук, профессор, </w:t>
      </w:r>
    </w:p>
    <w:p w14:paraId="056EBAC2" w14:textId="77777777" w:rsidR="0014017E" w:rsidRDefault="00704B2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 xml:space="preserve"> академик РАО и РАЕН.</w:t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  <w:r>
        <w:rPr>
          <w:rFonts w:ascii="Times New Roman" w:eastAsia="Times New Roman" w:hAnsi="Times New Roman" w:cs="Times New Roman"/>
          <w:color w:val="201F1E"/>
          <w:sz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201F1E"/>
          <w:sz w:val="24"/>
        </w:rPr>
        <w:br/>
      </w:r>
    </w:p>
    <w:p w14:paraId="03FF612C" w14:textId="77777777" w:rsidR="0014017E" w:rsidRDefault="00140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773F8D67" w14:textId="77777777" w:rsidR="0014017E" w:rsidRDefault="00704B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object w:dxaOrig="4589" w:dyaOrig="6123" w14:anchorId="27F5C34A">
          <v:rect id="rectole0000000002" o:spid="_x0000_i1027" style="width:229.5pt;height:306pt" o:ole="" o:preferrelative="t" stroked="f">
            <v:imagedata r:id="rId10" o:title=""/>
          </v:rect>
          <o:OLEObject Type="Embed" ProgID="StaticMetafile" ShapeID="rectole0000000002" DrawAspect="Content" ObjectID="_1704714072" r:id="rId11"/>
        </w:object>
      </w:r>
    </w:p>
    <w:sectPr w:rsidR="00140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0658BC"/>
    <w:multiLevelType w:val="multilevel"/>
    <w:tmpl w:val="B64E83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B554BBA"/>
    <w:multiLevelType w:val="multilevel"/>
    <w:tmpl w:val="C1D211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17E"/>
    <w:rsid w:val="0014017E"/>
    <w:rsid w:val="0070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53212"/>
  <w15:docId w15:val="{CD3C48FF-0F61-493E-9888-2C4800634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W3EDyu-r6p8t7Pn-0MN6d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1503</Words>
  <Characters>8573</Characters>
  <Application>Microsoft Office Word</Application>
  <DocSecurity>0</DocSecurity>
  <Lines>71</Lines>
  <Paragraphs>20</Paragraphs>
  <ScaleCrop>false</ScaleCrop>
  <Company/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Номер</dc:creator>
  <cp:lastModifiedBy>Мой Номер</cp:lastModifiedBy>
  <cp:revision>2</cp:revision>
  <dcterms:created xsi:type="dcterms:W3CDTF">2022-01-26T11:55:00Z</dcterms:created>
  <dcterms:modified xsi:type="dcterms:W3CDTF">2022-01-26T11:55:00Z</dcterms:modified>
</cp:coreProperties>
</file>